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sz w:val="24"/>
          <w:szCs w:val="24"/>
          <w:u w:val="single"/>
        </w:rPr>
      </w:pPr>
      <w:r w:rsidDel="00000000" w:rsidR="00000000" w:rsidRPr="00000000">
        <w:rPr>
          <w:rFonts w:ascii="Arial" w:cs="Arial" w:eastAsia="Arial" w:hAnsi="Arial"/>
          <w:b w:val="1"/>
          <w:bCs w:val="1"/>
          <w:color w:val="000000"/>
          <w:sz w:val="24"/>
          <w:szCs w:val="24"/>
          <w:u w:val="single"/>
          <w:rtl w:val="0"/>
        </w:rPr>
        <w:t xml:space="preserve">Springwell Alternative Academy </w:t>
      </w:r>
      <w:r w:rsidDel="00000000" w:rsidR="00000000" w:rsidRPr="00000000">
        <w:rPr>
          <w:rFonts w:ascii="Arial" w:cs="Arial" w:eastAsia="Arial" w:hAnsi="Arial"/>
          <w:b w:val="1"/>
          <w:bCs w:val="1"/>
          <w:sz w:val="24"/>
          <w:szCs w:val="24"/>
          <w:u w:val="single"/>
          <w:rtl w:val="0"/>
        </w:rPr>
        <w:t xml:space="preserve">Grantham</w:t>
      </w:r>
      <w:r w:rsidDel="00000000" w:rsidR="00000000" w:rsidRPr="00000000">
        <w:rPr>
          <w:rFonts w:ascii="Arial" w:cs="Arial" w:eastAsia="Arial" w:hAnsi="Arial"/>
          <w:b w:val="1"/>
          <w:bCs w:val="1"/>
          <w:color w:val="000000"/>
          <w:sz w:val="24"/>
          <w:szCs w:val="24"/>
          <w:u w:val="single"/>
          <w:rtl w:val="0"/>
        </w:rPr>
        <w:t xml:space="preserve"> 20</w:t>
      </w:r>
      <w:r w:rsidDel="00000000" w:rsidR="00000000" w:rsidRPr="00000000">
        <w:rPr>
          <w:rFonts w:ascii="Arial" w:cs="Arial" w:eastAsia="Arial" w:hAnsi="Arial"/>
          <w:b w:val="1"/>
          <w:bCs w:val="1"/>
          <w:sz w:val="24"/>
          <w:szCs w:val="24"/>
          <w:u w:val="single"/>
          <w:rtl w:val="0"/>
        </w:rPr>
        <w:t xml:space="preserve">25/2026</w:t>
      </w:r>
    </w:p>
    <w:p w:rsidR="00000000" w:rsidDel="00000000" w:rsidP="00000000" w:rsidRDefault="00000000" w:rsidRPr="00000000" w14:paraId="00000002">
      <w:pPr>
        <w:spacing w:after="0" w:line="240" w:lineRule="auto"/>
        <w:rPr>
          <w:rFonts w:ascii="Arial" w:cs="Arial" w:eastAsia="Arial" w:hAnsi="Arial"/>
          <w:b w:val="1"/>
          <w:bCs w:val="1"/>
          <w:sz w:val="14"/>
          <w:szCs w:val="14"/>
          <w:u w:val="single"/>
        </w:rPr>
      </w:pP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b w:val="1"/>
          <w:bCs w:val="1"/>
          <w:color w:val="000000"/>
          <w:u w:val="single"/>
        </w:rPr>
      </w:pPr>
      <w:r w:rsidDel="00000000" w:rsidR="00000000" w:rsidRPr="00000000">
        <w:rPr>
          <w:rFonts w:ascii="Arial" w:cs="Arial" w:eastAsia="Arial" w:hAnsi="Arial"/>
          <w:b w:val="1"/>
          <w:bCs w:val="1"/>
          <w:color w:val="000000"/>
          <w:u w:val="single"/>
          <w:rtl w:val="0"/>
        </w:rPr>
        <w:t xml:space="preserve">Year 11 Outcomes</w:t>
      </w:r>
    </w:p>
    <w:p w:rsidR="00000000" w:rsidDel="00000000" w:rsidP="00000000" w:rsidRDefault="00000000" w:rsidRPr="00000000" w14:paraId="00000004">
      <w:pPr>
        <w:spacing w:after="0" w:line="240" w:lineRule="auto"/>
        <w:rPr>
          <w:rFonts w:ascii="Arial" w:cs="Arial" w:eastAsia="Arial" w:hAnsi="Arial"/>
          <w:b w:val="1"/>
          <w:bCs w:val="1"/>
          <w:sz w:val="8"/>
          <w:szCs w:val="8"/>
          <w:u w:val="single"/>
        </w:rPr>
      </w:pPr>
      <w:r w:rsidDel="00000000" w:rsidR="00000000" w:rsidRPr="00000000">
        <w:rPr>
          <w:rtl w:val="0"/>
        </w:rPr>
      </w:r>
    </w:p>
    <w:tbl>
      <w:tblPr>
        <w:tblStyle w:val="Table1"/>
        <w:tblW w:w="11070.0" w:type="dxa"/>
        <w:jc w:val="left"/>
        <w:tblInd w:w="-10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1770"/>
        <w:gridCol w:w="1770"/>
        <w:gridCol w:w="1755"/>
        <w:gridCol w:w="1680"/>
        <w:gridCol w:w="1680"/>
        <w:tblGridChange w:id="0">
          <w:tblGrid>
            <w:gridCol w:w="2415"/>
            <w:gridCol w:w="1770"/>
            <w:gridCol w:w="1770"/>
            <w:gridCol w:w="1755"/>
            <w:gridCol w:w="1680"/>
            <w:gridCol w:w="1680"/>
          </w:tblGrid>
        </w:tblGridChange>
      </w:tblGrid>
      <w:tr>
        <w:trPr>
          <w:cantSplit w:val="0"/>
          <w:trHeight w:val="1080" w:hRule="atLeast"/>
          <w:tblHeader w:val="0"/>
        </w:trPr>
        <w:tc>
          <w:tcPr>
            <w:tcBorders>
              <w:top w:color="000000" w:space="0" w:sz="5" w:val="single"/>
              <w:left w:color="000000" w:space="0" w:sz="5" w:val="single"/>
              <w:bottom w:color="000000" w:space="0" w:sz="5" w:val="single"/>
              <w:right w:color="000000" w:space="0" w:sz="5" w:val="single"/>
            </w:tcBorders>
            <w:shd w:fill="512479" w:val="clear"/>
            <w:tcMar>
              <w:top w:w="0.0" w:type="dxa"/>
              <w:left w:w="100.0" w:type="dxa"/>
              <w:bottom w:w="0.0" w:type="dxa"/>
              <w:right w:w="100.0" w:type="dxa"/>
            </w:tcMar>
            <w:vAlign w:val="center"/>
          </w:tcPr>
          <w:p w:rsidR="00000000" w:rsidDel="00000000" w:rsidP="00000000" w:rsidRDefault="00000000" w:rsidRPr="00000000" w14:paraId="00000005">
            <w:pPr>
              <w:spacing w:after="0" w:line="276" w:lineRule="auto"/>
              <w:rPr>
                <w:rFonts w:ascii="Arial" w:cs="Arial" w:eastAsia="Arial" w:hAnsi="Arial"/>
                <w:b w:val="1"/>
                <w:bCs w:val="1"/>
                <w:sz w:val="16"/>
                <w:szCs w:val="16"/>
                <w:u w:val="single"/>
              </w:rPr>
            </w:pPr>
            <w:r w:rsidDel="00000000" w:rsidR="00000000" w:rsidRPr="00000000">
              <w:rPr>
                <w:rFonts w:ascii="Arial" w:cs="Arial" w:eastAsia="Arial" w:hAnsi="Arial"/>
                <w:b w:val="1"/>
                <w:bCs w:val="1"/>
                <w:sz w:val="16"/>
                <w:szCs w:val="16"/>
                <w:u w:val="single"/>
                <w:rtl w:val="0"/>
              </w:rPr>
              <w:t xml:space="preserve"> </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6">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w:t>
            </w:r>
          </w:p>
          <w:p w:rsidR="00000000" w:rsidDel="00000000" w:rsidP="00000000" w:rsidRDefault="00000000" w:rsidRPr="00000000" w14:paraId="00000007">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Academy Grantham (2021/22)</w:t>
            </w:r>
          </w:p>
          <w:p w:rsidR="00000000" w:rsidDel="00000000" w:rsidP="00000000" w:rsidRDefault="00000000" w:rsidRPr="00000000" w14:paraId="00000008">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12</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9">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 Academy Grantham (2022/23)</w:t>
            </w:r>
          </w:p>
          <w:p w:rsidR="00000000" w:rsidDel="00000000" w:rsidP="00000000" w:rsidRDefault="00000000" w:rsidRPr="00000000" w14:paraId="0000000A">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8</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B">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 Academy Grantham (2023/34)</w:t>
            </w:r>
          </w:p>
          <w:p w:rsidR="00000000" w:rsidDel="00000000" w:rsidP="00000000" w:rsidRDefault="00000000" w:rsidRPr="00000000" w14:paraId="0000000C">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9</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D">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 Academy Grantham (2024/25)</w:t>
            </w:r>
          </w:p>
          <w:p w:rsidR="00000000" w:rsidDel="00000000" w:rsidP="00000000" w:rsidRDefault="00000000" w:rsidRPr="00000000" w14:paraId="0000000E">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15</w:t>
            </w:r>
          </w:p>
        </w:tc>
        <w:tc>
          <w:tcPr>
            <w:tcBorders>
              <w:top w:color="000000" w:space="0" w:sz="5" w:val="single"/>
              <w:left w:color="000000" w:space="0" w:sz="0" w:val="nil"/>
              <w:bottom w:color="000000" w:space="0" w:sz="5" w:val="single"/>
              <w:right w:color="000000" w:space="0" w:sz="5" w:val="single"/>
            </w:tcBorders>
            <w:shd w:fill="68b9e8" w:val="clear"/>
            <w:tcMar>
              <w:top w:w="0.0" w:type="dxa"/>
              <w:left w:w="100.0" w:type="dxa"/>
              <w:bottom w:w="0.0" w:type="dxa"/>
              <w:right w:w="100.0" w:type="dxa"/>
            </w:tcMar>
            <w:vAlign w:val="center"/>
          </w:tcPr>
          <w:p w:rsidR="00000000" w:rsidDel="00000000" w:rsidP="00000000" w:rsidRDefault="00000000" w:rsidRPr="00000000" w14:paraId="0000000F">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Springwell Alternative Academy Grantham (2025/26)</w:t>
            </w:r>
          </w:p>
          <w:p w:rsidR="00000000" w:rsidDel="00000000" w:rsidP="00000000" w:rsidRDefault="00000000" w:rsidRPr="00000000" w14:paraId="00000010">
            <w:pPr>
              <w:spacing w:after="0" w:line="276" w:lineRule="auto"/>
              <w:jc w:val="center"/>
              <w:rPr>
                <w:rFonts w:ascii="Arial" w:cs="Arial" w:eastAsia="Arial" w:hAnsi="Arial"/>
                <w:b w:val="1"/>
                <w:bCs w:val="1"/>
                <w:i w:val="1"/>
                <w:iCs w:val="1"/>
                <w:sz w:val="16"/>
                <w:szCs w:val="16"/>
              </w:rPr>
            </w:pPr>
            <w:r w:rsidDel="00000000" w:rsidR="00000000" w:rsidRPr="00000000">
              <w:rPr>
                <w:rFonts w:ascii="Arial" w:cs="Arial" w:eastAsia="Arial" w:hAnsi="Arial"/>
                <w:b w:val="1"/>
                <w:bCs w:val="1"/>
                <w:i w:val="1"/>
                <w:iCs w:val="1"/>
                <w:sz w:val="16"/>
                <w:szCs w:val="16"/>
                <w:rtl w:val="0"/>
              </w:rPr>
              <w:t xml:space="preserve">Cohort: 9</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11">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at least 1 qual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2">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16">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17">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at least 1 GCSE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8">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1C">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1D">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5 or more quals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E">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62.5%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2">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r>
      <w:tr>
        <w:trPr>
          <w:cantSplit w:val="0"/>
          <w:trHeight w:val="54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3">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5 or more quals with English &amp; Maths entry level or above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4">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62.5%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8">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9">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GCSE English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A">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E">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F">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English any qual pass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0">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87.5%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34">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35">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GCSE Maths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6">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87.5%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3A">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78%</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3B">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Maths any qual pass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C">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87.5%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40">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41">
            <w:pPr>
              <w:spacing w:after="0" w:line="276"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of pupils achieving a Science qual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2">
            <w:pPr>
              <w:spacing w:after="0" w:line="240" w:lineRule="auto"/>
              <w:jc w:val="center"/>
              <w:rPr>
                <w:rFonts w:ascii="Arial" w:cs="Arial" w:eastAsia="Arial" w:hAnsi="Arial"/>
                <w:sz w:val="24"/>
                <w:szCs w:val="24"/>
              </w:rPr>
            </w:pPr>
            <w:r w:rsidDel="00000000" w:rsidR="00000000" w:rsidRPr="00000000">
              <w:rPr>
                <w:rFonts w:ascii="Arial" w:cs="Arial" w:eastAsia="Arial" w:hAnsi="Arial"/>
                <w:sz w:val="20"/>
                <w:szCs w:val="20"/>
                <w:rtl w:val="0"/>
              </w:rPr>
              <w:t xml:space="preserve">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46">
            <w:pPr>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87.5%</w:t>
            </w:r>
          </w:p>
        </w:tc>
      </w:tr>
    </w:tbl>
    <w:p w:rsidR="00000000" w:rsidDel="00000000" w:rsidP="00000000" w:rsidRDefault="00000000" w:rsidRPr="00000000" w14:paraId="00000047">
      <w:pPr>
        <w:spacing w:after="0" w:line="240" w:lineRule="auto"/>
        <w:rPr>
          <w:rFonts w:ascii="Arial" w:cs="Arial" w:eastAsia="Arial" w:hAnsi="Arial"/>
          <w:sz w:val="18"/>
          <w:szCs w:val="18"/>
        </w:rPr>
      </w:pPr>
      <w:r w:rsidDel="00000000" w:rsidR="00000000" w:rsidRPr="00000000">
        <w:rPr>
          <w:rtl w:val="0"/>
        </w:rPr>
      </w:r>
    </w:p>
    <w:tbl>
      <w:tblPr>
        <w:tblStyle w:val="Table2"/>
        <w:tblW w:w="11091.000000000004" w:type="dxa"/>
        <w:jc w:val="center"/>
        <w:tblLayout w:type="fixed"/>
        <w:tblLook w:val="0400"/>
      </w:tblPr>
      <w:tblGrid>
        <w:gridCol w:w="3943"/>
        <w:gridCol w:w="567"/>
        <w:gridCol w:w="567"/>
        <w:gridCol w:w="567"/>
        <w:gridCol w:w="567"/>
        <w:gridCol w:w="567"/>
        <w:gridCol w:w="567"/>
        <w:gridCol w:w="567"/>
        <w:gridCol w:w="567"/>
        <w:gridCol w:w="581"/>
        <w:gridCol w:w="581"/>
        <w:gridCol w:w="725"/>
        <w:gridCol w:w="725"/>
        <w:tblGridChange w:id="0">
          <w:tblGrid>
            <w:gridCol w:w="3943"/>
            <w:gridCol w:w="567"/>
            <w:gridCol w:w="567"/>
            <w:gridCol w:w="567"/>
            <w:gridCol w:w="567"/>
            <w:gridCol w:w="567"/>
            <w:gridCol w:w="567"/>
            <w:gridCol w:w="567"/>
            <w:gridCol w:w="567"/>
            <w:gridCol w:w="581"/>
            <w:gridCol w:w="581"/>
            <w:gridCol w:w="725"/>
            <w:gridCol w:w="725"/>
          </w:tblGrid>
        </w:tblGridChange>
      </w:tblGrid>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8">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Number of qualifications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9">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A">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B">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C">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D">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E">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F">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0">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1">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2">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3">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0" w:line="240" w:lineRule="auto"/>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color w:val="000000"/>
                <w:sz w:val="18"/>
                <w:szCs w:val="18"/>
                <w:rtl w:val="0"/>
              </w:rPr>
              <w:t xml:space="preserve">&gt;10</w:t>
            </w:r>
          </w:p>
        </w:tc>
      </w:tr>
      <w:tr>
        <w:trPr>
          <w:cantSplit w:val="0"/>
          <w:trHeight w:val="19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5">
            <w:pPr>
              <w:spacing w:after="0" w:line="240" w:lineRule="auto"/>
              <w:jc w:val="center"/>
              <w:rPr>
                <w:rFonts w:ascii="Arial" w:cs="Arial" w:eastAsia="Arial" w:hAnsi="Arial"/>
              </w:rPr>
            </w:pPr>
            <w:r w:rsidDel="00000000" w:rsidR="00000000" w:rsidRPr="00000000">
              <w:rPr>
                <w:rFonts w:ascii="Arial" w:cs="Arial" w:eastAsia="Arial" w:hAnsi="Arial"/>
                <w:b w:val="1"/>
                <w:bCs w:val="1"/>
                <w:color w:val="000000"/>
                <w:sz w:val="18"/>
                <w:szCs w:val="18"/>
                <w:rtl w:val="0"/>
              </w:rPr>
              <w:t xml:space="preserve">Number of pupils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6">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7">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8">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9">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A">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B">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C">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D">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E">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F">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0">
            <w:pPr>
              <w:spacing w:after="0" w:line="276"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spacing w:after="0" w:line="276"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r>
    </w:tbl>
    <w:p w:rsidR="00000000" w:rsidDel="00000000" w:rsidP="00000000" w:rsidRDefault="00000000" w:rsidRPr="00000000" w14:paraId="00000062">
      <w:pPr>
        <w:spacing w:after="0" w:line="240" w:lineRule="auto"/>
        <w:rPr>
          <w:rFonts w:ascii="Arial" w:cs="Arial" w:eastAsia="Arial" w:hAnsi="Arial"/>
        </w:rPr>
      </w:pPr>
      <w:bookmarkStart w:colFirst="0" w:colLast="0" w:name="_aq4j6h1s4d16" w:id="0"/>
      <w:bookmarkEnd w:id="0"/>
      <w:r w:rsidDel="00000000" w:rsidR="00000000" w:rsidRPr="00000000">
        <w:rPr>
          <w:rtl w:val="0"/>
        </w:rPr>
      </w:r>
    </w:p>
    <w:p w:rsidR="00000000" w:rsidDel="00000000" w:rsidP="00000000" w:rsidRDefault="00000000" w:rsidRPr="00000000" w14:paraId="00000063">
      <w:pPr>
        <w:spacing w:after="0" w:line="240" w:lineRule="auto"/>
        <w:rPr>
          <w:rFonts w:ascii="Arial" w:cs="Arial" w:eastAsia="Arial" w:hAnsi="Arial"/>
          <w:sz w:val="18"/>
          <w:szCs w:val="18"/>
        </w:rPr>
      </w:pPr>
      <w:r w:rsidDel="00000000" w:rsidR="00000000" w:rsidRPr="00000000">
        <w:rPr>
          <w:rFonts w:ascii="Arial" w:cs="Arial" w:eastAsia="Arial" w:hAnsi="Arial"/>
          <w:b w:val="1"/>
          <w:bCs w:val="1"/>
          <w:sz w:val="18"/>
          <w:szCs w:val="18"/>
          <w:u w:val="single"/>
          <w:rtl w:val="0"/>
        </w:rPr>
        <w:t xml:space="preserve">Grantham</w:t>
      </w:r>
      <w:r w:rsidDel="00000000" w:rsidR="00000000" w:rsidRPr="00000000">
        <w:rPr>
          <w:rFonts w:ascii="Arial" w:cs="Arial" w:eastAsia="Arial" w:hAnsi="Arial"/>
          <w:b w:val="1"/>
          <w:bCs w:val="1"/>
          <w:color w:val="000000"/>
          <w:sz w:val="18"/>
          <w:szCs w:val="18"/>
          <w:u w:val="single"/>
          <w:rtl w:val="0"/>
        </w:rPr>
        <w:t xml:space="preserve">: Pathway Assessment Group </w:t>
      </w:r>
      <w:r w:rsidDel="00000000" w:rsidR="00000000" w:rsidRPr="00000000">
        <w:rPr>
          <w:rtl w:val="0"/>
        </w:rPr>
      </w:r>
    </w:p>
    <w:p w:rsidR="00000000" w:rsidDel="00000000" w:rsidP="00000000" w:rsidRDefault="00000000" w:rsidRPr="00000000" w14:paraId="00000064">
      <w:pPr>
        <w:spacing w:after="0" w:line="240" w:lineRule="auto"/>
        <w:rPr>
          <w:rFonts w:ascii="Arial" w:cs="Arial" w:eastAsia="Arial" w:hAnsi="Arial"/>
          <w:sz w:val="18"/>
          <w:szCs w:val="18"/>
        </w:rPr>
      </w:pPr>
      <w:r w:rsidDel="00000000" w:rsidR="00000000" w:rsidRPr="00000000">
        <w:rPr>
          <w:rFonts w:ascii="Arial" w:cs="Arial" w:eastAsia="Arial" w:hAnsi="Arial"/>
          <w:b w:val="1"/>
          <w:bCs w:val="1"/>
          <w:i w:val="1"/>
          <w:iCs w:val="1"/>
          <w:sz w:val="18"/>
          <w:szCs w:val="18"/>
          <w:rtl w:val="0"/>
        </w:rPr>
        <w:t xml:space="preserve">Pathway 1</w:t>
      </w:r>
      <w:r w:rsidDel="00000000" w:rsidR="00000000" w:rsidRPr="00000000">
        <w:rPr>
          <w:rFonts w:ascii="Arial" w:cs="Arial" w:eastAsia="Arial" w:hAnsi="Arial"/>
          <w:i w:val="1"/>
          <w:iCs w:val="1"/>
          <w:sz w:val="18"/>
          <w:szCs w:val="18"/>
          <w:rtl w:val="0"/>
        </w:rPr>
        <w:t xml:space="preserve"> – Minimum of 2 qualifications that support post 16 progression </w:t>
      </w:r>
      <w:r w:rsidDel="00000000" w:rsidR="00000000" w:rsidRPr="00000000">
        <w:rPr>
          <w:rtl w:val="0"/>
        </w:rPr>
      </w:r>
    </w:p>
    <w:p w:rsidR="00000000" w:rsidDel="00000000" w:rsidP="00000000" w:rsidRDefault="00000000" w:rsidRPr="00000000" w14:paraId="00000065">
      <w:pPr>
        <w:spacing w:after="0" w:line="240" w:lineRule="auto"/>
        <w:rPr>
          <w:rFonts w:ascii="Arial" w:cs="Arial" w:eastAsia="Arial" w:hAnsi="Arial"/>
          <w:sz w:val="18"/>
          <w:szCs w:val="18"/>
        </w:rPr>
      </w:pPr>
      <w:r w:rsidDel="00000000" w:rsidR="00000000" w:rsidRPr="00000000">
        <w:rPr>
          <w:rFonts w:ascii="Arial" w:cs="Arial" w:eastAsia="Arial" w:hAnsi="Arial"/>
          <w:b w:val="1"/>
          <w:bCs w:val="1"/>
          <w:i w:val="1"/>
          <w:iCs w:val="1"/>
          <w:sz w:val="18"/>
          <w:szCs w:val="18"/>
          <w:rtl w:val="0"/>
        </w:rPr>
        <w:t xml:space="preserve">Pathway 2</w:t>
      </w:r>
      <w:r w:rsidDel="00000000" w:rsidR="00000000" w:rsidRPr="00000000">
        <w:rPr>
          <w:rFonts w:ascii="Arial" w:cs="Arial" w:eastAsia="Arial" w:hAnsi="Arial"/>
          <w:i w:val="1"/>
          <w:iCs w:val="1"/>
          <w:sz w:val="18"/>
          <w:szCs w:val="18"/>
          <w:rtl w:val="0"/>
        </w:rPr>
        <w:t xml:space="preserve"> – Minimum of 3 qualifications that support post 16 progression </w:t>
      </w:r>
      <w:r w:rsidDel="00000000" w:rsidR="00000000" w:rsidRPr="00000000">
        <w:rPr>
          <w:rtl w:val="0"/>
        </w:rPr>
      </w:r>
    </w:p>
    <w:p w:rsidR="00000000" w:rsidDel="00000000" w:rsidP="00000000" w:rsidRDefault="00000000" w:rsidRPr="00000000" w14:paraId="00000066">
      <w:pPr>
        <w:spacing w:after="0" w:line="240" w:lineRule="auto"/>
        <w:rPr>
          <w:rFonts w:ascii="Arial" w:cs="Arial" w:eastAsia="Arial" w:hAnsi="Arial"/>
          <w:i w:val="1"/>
          <w:iCs w:val="1"/>
          <w:sz w:val="18"/>
          <w:szCs w:val="18"/>
        </w:rPr>
      </w:pPr>
      <w:r w:rsidDel="00000000" w:rsidR="00000000" w:rsidRPr="00000000">
        <w:rPr>
          <w:rFonts w:ascii="Arial" w:cs="Arial" w:eastAsia="Arial" w:hAnsi="Arial"/>
          <w:b w:val="1"/>
          <w:bCs w:val="1"/>
          <w:i w:val="1"/>
          <w:iCs w:val="1"/>
          <w:sz w:val="18"/>
          <w:szCs w:val="18"/>
          <w:rtl w:val="0"/>
        </w:rPr>
        <w:t xml:space="preserve">Pathway 3</w:t>
      </w:r>
      <w:r w:rsidDel="00000000" w:rsidR="00000000" w:rsidRPr="00000000">
        <w:rPr>
          <w:rFonts w:ascii="Arial" w:cs="Arial" w:eastAsia="Arial" w:hAnsi="Arial"/>
          <w:i w:val="1"/>
          <w:iCs w:val="1"/>
          <w:sz w:val="18"/>
          <w:szCs w:val="18"/>
          <w:rtl w:val="0"/>
        </w:rPr>
        <w:t xml:space="preserve"> –Minimum of 4 qualifications that support post 16 progression </w:t>
      </w:r>
    </w:p>
    <w:p w:rsidR="00000000" w:rsidDel="00000000" w:rsidP="00000000" w:rsidRDefault="00000000" w:rsidRPr="00000000" w14:paraId="00000067">
      <w:pPr>
        <w:spacing w:after="0" w:line="240" w:lineRule="auto"/>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Pathway 4- </w:t>
      </w:r>
      <w:r w:rsidDel="00000000" w:rsidR="00000000" w:rsidRPr="00000000">
        <w:rPr>
          <w:rFonts w:ascii="Arial" w:cs="Arial" w:eastAsia="Arial" w:hAnsi="Arial"/>
          <w:i w:val="1"/>
          <w:iCs w:val="1"/>
          <w:sz w:val="18"/>
          <w:szCs w:val="18"/>
          <w:rtl w:val="0"/>
        </w:rPr>
        <w:t xml:space="preserve">Minimum of 5+ qualifications that support post 16 progression </w:t>
      </w:r>
      <w:r w:rsidDel="00000000" w:rsidR="00000000" w:rsidRPr="00000000">
        <w:rPr>
          <w:rtl w:val="0"/>
        </w:rPr>
      </w:r>
    </w:p>
    <w:p w:rsidR="00000000" w:rsidDel="00000000" w:rsidP="00000000" w:rsidRDefault="00000000" w:rsidRPr="00000000" w14:paraId="00000068">
      <w:pPr>
        <w:spacing w:after="0" w:line="240" w:lineRule="auto"/>
        <w:rPr>
          <w:rFonts w:ascii="Arial" w:cs="Arial" w:eastAsia="Arial" w:hAnsi="Arial"/>
          <w:sz w:val="12"/>
          <w:szCs w:val="12"/>
        </w:rPr>
      </w:pPr>
      <w:r w:rsidDel="00000000" w:rsidR="00000000" w:rsidRPr="00000000">
        <w:rPr>
          <w:rtl w:val="0"/>
        </w:rPr>
      </w:r>
    </w:p>
    <w:tbl>
      <w:tblPr>
        <w:tblStyle w:val="Table3"/>
        <w:tblW w:w="11070.0" w:type="dxa"/>
        <w:jc w:val="left"/>
        <w:tblInd w:w="-969.0" w:type="dxa"/>
        <w:tblLayout w:type="fixed"/>
        <w:tblLook w:val="0400"/>
      </w:tblPr>
      <w:tblGrid>
        <w:gridCol w:w="1515"/>
        <w:gridCol w:w="4650"/>
        <w:gridCol w:w="4905"/>
        <w:tblGridChange w:id="0">
          <w:tblGrid>
            <w:gridCol w:w="1515"/>
            <w:gridCol w:w="4650"/>
            <w:gridCol w:w="490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spacing w:after="0" w:line="240" w:lineRule="auto"/>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Pathway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spacing w:after="0" w:line="240" w:lineRule="auto"/>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 that achieved the pathway expected outcome measure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spacing w:after="0" w:line="240" w:lineRule="auto"/>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 with a positive post 16 destination (as of Aug  202</w:t>
            </w:r>
            <w:r w:rsidDel="00000000" w:rsidR="00000000" w:rsidRPr="00000000">
              <w:rPr>
                <w:rFonts w:ascii="Arial" w:cs="Arial" w:eastAsia="Arial" w:hAnsi="Arial"/>
                <w:b w:val="1"/>
                <w:bCs w:val="1"/>
                <w:sz w:val="20"/>
                <w:szCs w:val="20"/>
                <w:rtl w:val="0"/>
              </w:rPr>
              <w:t xml:space="preserve">6</w:t>
            </w:r>
            <w:r w:rsidDel="00000000" w:rsidR="00000000" w:rsidRPr="00000000">
              <w:rPr>
                <w:rFonts w:ascii="Arial" w:cs="Arial" w:eastAsia="Arial" w:hAnsi="Arial"/>
                <w:b w:val="1"/>
                <w:bCs w:val="1"/>
                <w:color w:val="000000"/>
                <w:sz w:val="20"/>
                <w:szCs w:val="20"/>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spacing w:after="0" w:line="240" w:lineRule="auto"/>
              <w:jc w:val="cente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spacing w:after="0" w:line="240" w:lineRule="auto"/>
              <w:jc w:val="cente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078">
      <w:pPr>
        <w:spacing w:after="0" w:line="240" w:lineRule="auto"/>
        <w:rPr>
          <w:rFonts w:ascii="Arial" w:cs="Arial" w:eastAsia="Arial" w:hAnsi="Arial"/>
          <w:sz w:val="8"/>
          <w:szCs w:val="8"/>
        </w:rPr>
      </w:pPr>
      <w:r w:rsidDel="00000000" w:rsidR="00000000" w:rsidRPr="00000000">
        <w:rPr>
          <w:rtl w:val="0"/>
        </w:rPr>
      </w:r>
    </w:p>
    <w:p w:rsidR="00000000" w:rsidDel="00000000" w:rsidP="00000000" w:rsidRDefault="00000000" w:rsidRPr="00000000" w14:paraId="00000079">
      <w:pPr>
        <w:shd w:fill="ffffff" w:val="clear"/>
        <w:spacing w:after="0" w:line="240" w:lineRule="auto"/>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7A">
      <w:pPr>
        <w:shd w:fill="ffffff" w:val="clear"/>
        <w:spacing w:after="0" w:line="24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u w:val="single"/>
          <w:rtl w:val="0"/>
        </w:rPr>
        <w:t xml:space="preserve">Context:</w:t>
      </w:r>
      <w:r w:rsidDel="00000000" w:rsidR="00000000" w:rsidRPr="00000000">
        <w:rPr>
          <w:rFonts w:ascii="Arial" w:cs="Arial" w:eastAsia="Arial" w:hAnsi="Arial"/>
          <w:b w:val="1"/>
          <w:bCs w:val="1"/>
          <w:color w:val="000000"/>
          <w:sz w:val="24"/>
          <w:szCs w:val="24"/>
          <w:rtl w:val="0"/>
        </w:rPr>
        <w:t xml:space="preserve"> </w:t>
      </w:r>
    </w:p>
    <w:p w:rsidR="00000000" w:rsidDel="00000000" w:rsidP="00000000" w:rsidRDefault="00000000" w:rsidRPr="00000000" w14:paraId="0000007B">
      <w:pPr>
        <w:shd w:fill="ffffff" w:val="clear"/>
        <w:spacing w:after="0" w:line="240" w:lineRule="auto"/>
        <w:jc w:val="both"/>
        <w:rPr>
          <w:rFonts w:ascii="Arial" w:cs="Arial" w:eastAsia="Arial" w:hAnsi="Arial"/>
          <w:color w:val="222222"/>
          <w:sz w:val="24"/>
          <w:szCs w:val="24"/>
        </w:rPr>
      </w:pPr>
      <w:r w:rsidDel="00000000" w:rsidR="00000000" w:rsidRPr="00000000">
        <w:rPr>
          <w:rFonts w:ascii="Arial" w:cs="Arial" w:eastAsia="Arial" w:hAnsi="Arial"/>
          <w:sz w:val="20"/>
          <w:szCs w:val="20"/>
          <w:rtl w:val="0"/>
        </w:rPr>
        <w:t xml:space="preserve">The Year 11 cohort at Springwell Alternative Academy Grantham was largely comprised of students who have experienced significant disruption to their prior schooling. There were 9 students of which 6 joined during year 11. Consequently, a vast majority of these pupils arrived with considerable gaps in their learning, having missed crucial foundational knowledge, particularly in the core subjects of English and Mathematics.This presented a significant challenge, requiring a curriculum focused not only on Key Stage 4 content but also on intensive, targeted interventions to rapidly rebuild these fundamental skills. The primary objective has been to bridge these learning deficits, re-engage the students, and accelerate their progress to ensure they can achieve meaningful qualifications and are prepared for their post-16 destinations.This presented a significant challenge, requiring a curriculum focused not only on Key Stage 4 content but also on intensive, targeted interventions to rapidly rebuild these fundamental skills. The primary objective has been to bridge these learning deficits, re-engage the students, and accelerate their progress to ensure they can achieve meaningful qualifications and are prepared for their post-16 destinations.</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A large majority of the cohort attended in school provision, whilst 5 pupils utilised our off-site mobile Personalised Education Action Plan. </w:t>
      </w:r>
      <w:r w:rsidDel="00000000" w:rsidR="00000000" w:rsidRPr="00000000">
        <w:rPr>
          <w:rtl w:val="0"/>
        </w:rPr>
      </w:r>
    </w:p>
    <w:p w:rsidR="00000000" w:rsidDel="00000000" w:rsidP="00000000" w:rsidRDefault="00000000" w:rsidRPr="00000000" w14:paraId="0000007C">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b w:val="1"/>
          <w:bCs w:val="1"/>
          <w:color w:val="222222"/>
          <w:sz w:val="24"/>
          <w:szCs w:val="24"/>
          <w:rtl w:val="0"/>
        </w:rPr>
        <w:t xml:space="preserve"> </w:t>
      </w:r>
      <w:r w:rsidDel="00000000" w:rsidR="00000000" w:rsidRPr="00000000">
        <w:rPr>
          <w:rtl w:val="0"/>
        </w:rPr>
      </w:r>
    </w:p>
    <w:p w:rsidR="00000000" w:rsidDel="00000000" w:rsidP="00000000" w:rsidRDefault="00000000" w:rsidRPr="00000000" w14:paraId="0000007D">
      <w:pPr>
        <w:shd w:fill="ffffff" w:val="clear"/>
        <w:spacing w:after="0" w:line="240" w:lineRule="auto"/>
        <w:jc w:val="both"/>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07E">
      <w:pPr>
        <w:shd w:fill="ffffff" w:val="clear"/>
        <w:spacing w:after="0" w:line="24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u w:val="single"/>
          <w:rtl w:val="0"/>
        </w:rPr>
        <w:t xml:space="preserve">Highlights:</w:t>
      </w:r>
      <w:r w:rsidDel="00000000" w:rsidR="00000000" w:rsidRPr="00000000">
        <w:rPr>
          <w:rFonts w:ascii="Arial" w:cs="Arial" w:eastAsia="Arial" w:hAnsi="Arial"/>
          <w:b w:val="1"/>
          <w:bCs w:val="1"/>
          <w:color w:val="000000"/>
          <w:sz w:val="24"/>
          <w:szCs w:val="24"/>
          <w:rtl w:val="0"/>
        </w:rPr>
        <w:t xml:space="preserve"> </w:t>
      </w:r>
    </w:p>
    <w:p w:rsidR="00000000" w:rsidDel="00000000" w:rsidP="00000000" w:rsidRDefault="00000000" w:rsidRPr="00000000" w14:paraId="0000007F">
      <w:pPr>
        <w:shd w:fill="ffffff" w:val="clear"/>
        <w:spacing w:after="240" w:before="24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Through continuous care, targeted support, and a nurturing environment, pupils at Springwell have achieved both significant personal growth and academic success. Regardless of their individual learning pathways, all pupils made expected progress throughout their time with us. Demonstrating practical life skills, every pupil successfully achieved their BTEC Home Cooking Level 2 qualification, while 8 students secured qualifications across the core subjects of English, Maths, and Science.</w:t>
      </w:r>
    </w:p>
    <w:p w:rsidR="00000000" w:rsidDel="00000000" w:rsidP="00000000" w:rsidRDefault="00000000" w:rsidRPr="00000000" w14:paraId="00000080">
      <w:pPr>
        <w:shd w:fill="ffffff" w:val="clear"/>
        <w:spacing w:after="240" w:before="24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Alongside academic learning, a higher number of pupils engaged in meaningful work experience placements this year. These opportunities enabled them to develop vital soft skills, including communication, teamwork, resilience, and workplace independence, that are essential for adult life. </w:t>
      </w:r>
    </w:p>
    <w:p w:rsidR="00000000" w:rsidDel="00000000" w:rsidP="00000000" w:rsidRDefault="00000000" w:rsidRPr="00000000" w14:paraId="00000081">
      <w:pPr>
        <w:shd w:fill="ffffff" w:val="clear"/>
        <w:spacing w:after="240" w:before="24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High academic attainment was a key feature of this cohort: 8 pupils earned 7 or more qualifications, including 6 who achieved 8 or more accredited qualifications. These accomplishments have equipped students with lifelong skills for active citizenship and set a solid foundation for their futures. This robust preparation is reflected in our post-16 transition outcomes, data from August 2026 confirms that 88% of the cohort are currently in sustained Employment, Education, or Training (EET).</w:t>
      </w:r>
    </w:p>
    <w:p w:rsidR="00000000" w:rsidDel="00000000" w:rsidP="00000000" w:rsidRDefault="00000000" w:rsidRPr="00000000" w14:paraId="00000082">
      <w:pPr>
        <w:shd w:fill="ffffff" w:val="clea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3">
      <w:pPr>
        <w:shd w:fill="ffffff" w:val="clea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4">
      <w:pPr>
        <w:shd w:fill="ffffff" w:val="clear"/>
        <w:spacing w:after="0" w:line="240" w:lineRule="auto"/>
        <w:rPr>
          <w:rFonts w:ascii="Arial" w:cs="Arial" w:eastAsia="Arial" w:hAnsi="Arial"/>
          <w:b w:val="1"/>
          <w:bCs w:val="1"/>
          <w:color w:val="000000"/>
          <w:sz w:val="24"/>
          <w:szCs w:val="24"/>
          <w:u w:val="single"/>
        </w:rPr>
      </w:pPr>
      <w:r w:rsidDel="00000000" w:rsidR="00000000" w:rsidRPr="00000000">
        <w:rPr>
          <w:rFonts w:ascii="Arial" w:cs="Arial" w:eastAsia="Arial" w:hAnsi="Arial"/>
          <w:b w:val="1"/>
          <w:bCs w:val="1"/>
          <w:color w:val="000000"/>
          <w:sz w:val="24"/>
          <w:szCs w:val="24"/>
          <w:u w:val="single"/>
          <w:rtl w:val="0"/>
        </w:rPr>
        <w:t xml:space="preserve">Next steps for 202</w:t>
      </w:r>
      <w:r w:rsidDel="00000000" w:rsidR="00000000" w:rsidRPr="00000000">
        <w:rPr>
          <w:rFonts w:ascii="Arial" w:cs="Arial" w:eastAsia="Arial" w:hAnsi="Arial"/>
          <w:b w:val="1"/>
          <w:bCs w:val="1"/>
          <w:sz w:val="24"/>
          <w:szCs w:val="24"/>
          <w:u w:val="single"/>
          <w:rtl w:val="0"/>
        </w:rPr>
        <w:t xml:space="preserve">6</w:t>
      </w:r>
      <w:r w:rsidDel="00000000" w:rsidR="00000000" w:rsidRPr="00000000">
        <w:rPr>
          <w:rFonts w:ascii="Arial" w:cs="Arial" w:eastAsia="Arial" w:hAnsi="Arial"/>
          <w:b w:val="1"/>
          <w:bCs w:val="1"/>
          <w:color w:val="000000"/>
          <w:sz w:val="24"/>
          <w:szCs w:val="24"/>
          <w:u w:val="single"/>
          <w:rtl w:val="0"/>
        </w:rPr>
        <w:t xml:space="preserve">-202</w:t>
      </w:r>
      <w:r w:rsidDel="00000000" w:rsidR="00000000" w:rsidRPr="00000000">
        <w:rPr>
          <w:rFonts w:ascii="Arial" w:cs="Arial" w:eastAsia="Arial" w:hAnsi="Arial"/>
          <w:b w:val="1"/>
          <w:bCs w:val="1"/>
          <w:sz w:val="24"/>
          <w:szCs w:val="24"/>
          <w:u w:val="single"/>
          <w:rtl w:val="0"/>
        </w:rPr>
        <w:t xml:space="preserve">7</w:t>
      </w:r>
      <w:r w:rsidDel="00000000" w:rsidR="00000000" w:rsidRPr="00000000">
        <w:rPr>
          <w:rFonts w:ascii="Arial" w:cs="Arial" w:eastAsia="Arial" w:hAnsi="Arial"/>
          <w:b w:val="1"/>
          <w:bCs w:val="1"/>
          <w:color w:val="000000"/>
          <w:sz w:val="24"/>
          <w:szCs w:val="24"/>
          <w:u w:val="single"/>
          <w:rtl w:val="0"/>
        </w:rPr>
        <w:t xml:space="preserve">:</w:t>
      </w:r>
    </w:p>
    <w:p w:rsidR="00000000" w:rsidDel="00000000" w:rsidP="00000000" w:rsidRDefault="00000000" w:rsidRPr="00000000" w14:paraId="00000085">
      <w:pPr>
        <w:numPr>
          <w:ilvl w:val="0"/>
          <w:numId w:val="1"/>
        </w:numPr>
        <w:shd w:fill="ffffff" w:val="clear"/>
        <w:spacing w:after="0" w:line="240" w:lineRule="auto"/>
        <w:ind w:left="10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Continue to have a focus on Year 10 pupils working towards unitised qualification credits to support pupils to attain certificate level qualifications in Year 11.</w:t>
      </w:r>
    </w:p>
    <w:p w:rsidR="00000000" w:rsidDel="00000000" w:rsidP="00000000" w:rsidRDefault="00000000" w:rsidRPr="00000000" w14:paraId="00000086">
      <w:pPr>
        <w:numPr>
          <w:ilvl w:val="0"/>
          <w:numId w:val="1"/>
        </w:numPr>
        <w:shd w:fill="ffffff" w:val="clear"/>
        <w:spacing w:after="0" w:line="240" w:lineRule="auto"/>
        <w:ind w:left="10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Continue to monitor and evaluate the sustainability of post-16 placements for the 2026/27 cohort to maintain the higher rate of positive destinations in Education, Employment, or Training.</w:t>
      </w:r>
    </w:p>
    <w:p w:rsidR="00000000" w:rsidDel="00000000" w:rsidP="00000000" w:rsidRDefault="00000000" w:rsidRPr="00000000" w14:paraId="00000087">
      <w:pPr>
        <w:numPr>
          <w:ilvl w:val="0"/>
          <w:numId w:val="1"/>
        </w:numPr>
        <w:shd w:fill="ffffff" w:val="clear"/>
        <w:spacing w:after="0" w:line="240" w:lineRule="auto"/>
        <w:ind w:left="10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Integrate foundational skill-building alongside GCSE content delivery to close knowledge gaps and secure core understanding.</w:t>
      </w:r>
    </w:p>
    <w:p w:rsidR="00000000" w:rsidDel="00000000" w:rsidP="00000000" w:rsidRDefault="00000000" w:rsidRPr="00000000" w14:paraId="00000088">
      <w:pPr>
        <w:numPr>
          <w:ilvl w:val="0"/>
          <w:numId w:val="1"/>
        </w:numPr>
        <w:shd w:fill="ffffff" w:val="clear"/>
        <w:spacing w:after="0" w:line="240" w:lineRule="auto"/>
        <w:ind w:left="10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Leverage mock exam data to drive targeted input and tailored student support during the pre-exam period.</w:t>
      </w:r>
    </w:p>
    <w:sectPr>
      <w:headerReference r:id="rId6" w:type="default"/>
      <w:foot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-914399</wp:posOffset>
          </wp:positionH>
          <wp:positionV relativeFrom="paragraph">
            <wp:posOffset>-1194434</wp:posOffset>
          </wp:positionV>
          <wp:extent cx="1900775" cy="1862473"/>
          <wp:effectExtent b="0" l="0" r="0" t="0"/>
          <wp:wrapNone/>
          <wp:docPr descr="C:\Users\jack.williamson\Downloads\Your paragraph text (8).png" id="2" name="image3.png"/>
          <a:graphic>
            <a:graphicData uri="http://schemas.openxmlformats.org/drawingml/2006/picture">
              <pic:pic>
                <pic:nvPicPr>
                  <pic:cNvPr descr="C:\Users\jack.williamson\Downloads\Your paragraph text (8).png" id="0" name="image3.png"/>
                  <pic:cNvPicPr preferRelativeResize="0"/>
                </pic:nvPicPr>
                <pic:blipFill>
                  <a:blip r:embed="rId1"/>
                  <a:srcRect b="0" l="0" r="0" t="0"/>
                  <a:stretch>
                    <a:fillRect/>
                  </a:stretch>
                </pic:blipFill>
                <pic:spPr>
                  <a:xfrm>
                    <a:off x="0" y="0"/>
                    <a:ext cx="1900775" cy="186247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spacing w:after="0" w:line="276" w:lineRule="auto"/>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1393988</wp:posOffset>
          </wp:positionH>
          <wp:positionV relativeFrom="paragraph">
            <wp:posOffset>-335279</wp:posOffset>
          </wp:positionV>
          <wp:extent cx="2395538" cy="72098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95538" cy="72098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4819683</wp:posOffset>
          </wp:positionH>
          <wp:positionV relativeFrom="paragraph">
            <wp:posOffset>-449577</wp:posOffset>
          </wp:positionV>
          <wp:extent cx="1835671" cy="1798711"/>
          <wp:effectExtent b="0" l="0" r="0" t="0"/>
          <wp:wrapNone/>
          <wp:docPr id="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835671" cy="179871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